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«Управленческий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«Управленческий учет»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92.5989"/>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962.05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Затраты организации, их характеристика. Классификация  затрат и</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калькулирования себестоимости продукции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и расходы. Затраты как активы организации. Расходы как уменьшение капитала организации. Классификация затрат для целей финансового и управленческого учета: по элементам, функциям, статьям.</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pPr>
              <w:jc w:val="both"/>
              <w:spacing w:after="0" w:line="240" w:lineRule="auto"/>
              <w:rPr>
                <w:sz w:val="24"/>
                <w:szCs w:val="24"/>
              </w:rPr>
            </w:pPr>
            <w:r>
              <w:rPr>
                <w:rFonts w:ascii="Times New Roman" w:hAnsi="Times New Roman" w:cs="Times New Roman"/>
                <w:color w:val="#000000"/>
                <w:sz w:val="24"/>
                <w:szCs w:val="24"/>
              </w:rPr>
              <w:t> 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учета затрат и калькулирования себестоимости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продукта: ее состав и виды. Роль калькулирования себестоимости продукта в управлении деятельностью организации.</w:t>
            </w:r>
          </w:p>
          <w:p>
            <w:pPr>
              <w:jc w:val="both"/>
              <w:spacing w:after="0" w:line="240" w:lineRule="auto"/>
              <w:rPr>
                <w:sz w:val="24"/>
                <w:szCs w:val="24"/>
              </w:rPr>
            </w:pPr>
            <w:r>
              <w:rPr>
                <w:rFonts w:ascii="Times New Roman" w:hAnsi="Times New Roman" w:cs="Times New Roman"/>
                <w:color w:val="#000000"/>
                <w:sz w:val="24"/>
                <w:szCs w:val="24"/>
              </w:rPr>
              <w:t> 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2.Затраты организации, их характеристика. Классификация  затрат и калькулирования себестоимости продукции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управленческих решений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безубыточности. Определение критического объема продаж. Графическое определение точки безубыточности.</w:t>
            </w:r>
          </w:p>
          <w:p>
            <w:pPr>
              <w:jc w:val="both"/>
              <w:spacing w:after="0" w:line="240" w:lineRule="auto"/>
              <w:rPr>
                <w:sz w:val="24"/>
                <w:szCs w:val="24"/>
              </w:rPr>
            </w:pPr>
            <w:r>
              <w:rPr>
                <w:rFonts w:ascii="Times New Roman" w:hAnsi="Times New Roman" w:cs="Times New Roman"/>
                <w:color w:val="#000000"/>
                <w:sz w:val="24"/>
                <w:szCs w:val="24"/>
              </w:rPr>
              <w:t> 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pPr>
              <w:jc w:val="both"/>
              <w:spacing w:after="0" w:line="240" w:lineRule="auto"/>
              <w:rPr>
                <w:sz w:val="24"/>
                <w:szCs w:val="24"/>
              </w:rPr>
            </w:pPr>
            <w:r>
              <w:rPr>
                <w:rFonts w:ascii="Times New Roman" w:hAnsi="Times New Roman" w:cs="Times New Roman"/>
                <w:color w:val="#000000"/>
                <w:sz w:val="24"/>
                <w:szCs w:val="24"/>
              </w:rPr>
              <w:t> Условия применения маржинального анализа.</w:t>
            </w:r>
          </w:p>
          <w:p>
            <w:pPr>
              <w:jc w:val="both"/>
              <w:spacing w:after="0" w:line="240" w:lineRule="auto"/>
              <w:rPr>
                <w:sz w:val="24"/>
                <w:szCs w:val="24"/>
              </w:rPr>
            </w:pPr>
            <w:r>
              <w:rPr>
                <w:rFonts w:ascii="Times New Roman" w:hAnsi="Times New Roman" w:cs="Times New Roman"/>
                <w:color w:val="#000000"/>
                <w:sz w:val="24"/>
                <w:szCs w:val="24"/>
              </w:rPr>
              <w:t> 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pPr>
              <w:jc w:val="both"/>
              <w:spacing w:after="0" w:line="240" w:lineRule="auto"/>
              <w:rPr>
                <w:sz w:val="24"/>
                <w:szCs w:val="24"/>
              </w:rPr>
            </w:pPr>
            <w:r>
              <w:rPr>
                <w:rFonts w:ascii="Times New Roman" w:hAnsi="Times New Roman" w:cs="Times New Roman"/>
                <w:color w:val="#000000"/>
                <w:sz w:val="24"/>
                <w:szCs w:val="24"/>
              </w:rPr>
              <w:t> Ценообразование в нестандартных условиях. Преимущества ценообразования на основе системы «директ-костинг».</w:t>
            </w:r>
          </w:p>
          <w:p>
            <w:pPr>
              <w:jc w:val="both"/>
              <w:spacing w:after="0" w:line="240" w:lineRule="auto"/>
              <w:rPr>
                <w:sz w:val="24"/>
                <w:szCs w:val="24"/>
              </w:rPr>
            </w:pPr>
            <w:r>
              <w:rPr>
                <w:rFonts w:ascii="Times New Roman" w:hAnsi="Times New Roman" w:cs="Times New Roman"/>
                <w:color w:val="#000000"/>
                <w:sz w:val="24"/>
                <w:szCs w:val="24"/>
              </w:rPr>
              <w:t> Метод валовой прибыли, рентабельности продаж, рентабельности активов.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«Управленческий учет»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https://urait.ru/bcode/470833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54.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2024-2025_ФГОС3++2024_Бак-ЗФО-УП(ОТОП)(24)_plx_Управленческий учет</dc:title>
  <dc:creator>FastReport.NET</dc:creator>
</cp:coreProperties>
</file>